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新麦</w:t>
      </w:r>
      <w:r>
        <w:rPr>
          <w:rFonts w:ascii="Times New Roman" w:hAnsi="Times New Roman" w:cs="Times New Roman"/>
          <w:b/>
          <w:sz w:val="32"/>
          <w:szCs w:val="32"/>
        </w:rPr>
        <w:t xml:space="preserve"> 67</w:t>
      </w:r>
      <w:r>
        <w:rPr>
          <w:rFonts w:hint="eastAsia" w:ascii="Times New Roman" w:hAnsi="Times New Roman" w:cs="Times New Roman"/>
          <w:b/>
          <w:sz w:val="32"/>
          <w:szCs w:val="32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cs="Times New Roman"/>
          <w:sz w:val="28"/>
          <w:szCs w:val="28"/>
        </w:rPr>
        <w:t>新麦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67</w:t>
      </w:r>
      <w:r>
        <w:rPr>
          <w:rFonts w:hint="eastAsia" w:ascii="Times New Roman" w:cs="Times New Roman"/>
          <w:sz w:val="28"/>
          <w:szCs w:val="28"/>
        </w:rPr>
        <w:t>是新乡市农业科学院</w:t>
      </w:r>
      <w:r>
        <w:rPr>
          <w:rFonts w:hint="eastAsia" w:ascii="Times New Roman" w:cs="Times New Roman"/>
          <w:sz w:val="28"/>
          <w:szCs w:val="28"/>
          <w:lang w:eastAsia="zh-CN"/>
        </w:rPr>
        <w:t>最新选</w:t>
      </w:r>
      <w:r>
        <w:rPr>
          <w:rFonts w:hint="eastAsia" w:ascii="Times New Roman" w:cs="Times New Roman"/>
          <w:sz w:val="28"/>
          <w:szCs w:val="28"/>
        </w:rPr>
        <w:t>育的半冬性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大</w:t>
      </w:r>
      <w:r>
        <w:rPr>
          <w:rFonts w:hint="eastAsia" w:ascii="Times New Roman" w:cs="Times New Roman"/>
          <w:sz w:val="28"/>
          <w:szCs w:val="28"/>
        </w:rPr>
        <w:t>穗</w:t>
      </w:r>
      <w:r>
        <w:rPr>
          <w:rFonts w:hint="eastAsia" w:ascii="Times New Roman" w:cs="Times New Roman"/>
          <w:sz w:val="28"/>
          <w:szCs w:val="28"/>
          <w:lang w:eastAsia="zh-CN"/>
        </w:rPr>
        <w:t>大粒</w:t>
      </w:r>
      <w:r>
        <w:rPr>
          <w:rFonts w:hint="eastAsia" w:ascii="Times New Roman" w:cs="Times New Roman"/>
          <w:sz w:val="28"/>
          <w:szCs w:val="28"/>
        </w:rPr>
        <w:t>型高产</w:t>
      </w:r>
      <w:r>
        <w:rPr>
          <w:rFonts w:hint="eastAsia" w:ascii="Times New Roman" w:cs="Times New Roman"/>
          <w:sz w:val="28"/>
          <w:szCs w:val="28"/>
          <w:lang w:eastAsia="zh-CN"/>
        </w:rPr>
        <w:t>稳产多抗广适</w:t>
      </w:r>
      <w:r>
        <w:rPr>
          <w:rFonts w:hint="eastAsia" w:ascii="Times New Roman" w:cs="Times New Roman"/>
          <w:sz w:val="28"/>
          <w:szCs w:val="28"/>
        </w:rPr>
        <w:t>小麦新品种，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已完成</w:t>
      </w:r>
      <w:r>
        <w:rPr>
          <w:rFonts w:hint="eastAsia" w:ascii="Times New Roman" w:cs="Times New Roman"/>
          <w:sz w:val="28"/>
          <w:szCs w:val="28"/>
        </w:rPr>
        <w:t>国家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黄淮南片麦区生产试验程序</w:t>
      </w:r>
      <w:r>
        <w:rPr>
          <w:rFonts w:hint="eastAsia" w:ascii="Times New Roman" w:cs="Times New Roman"/>
          <w:sz w:val="28"/>
          <w:szCs w:val="28"/>
          <w:lang w:eastAsia="zh-CN"/>
        </w:rPr>
        <w:t>，并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通过国家农作物品种审定公示。于2023年9月获得植物新品种权保护证书，品种权号：CNA20211007281。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Times New Roman" w:cs="Times New Roman"/>
          <w:b w:val="0"/>
          <w:bCs/>
          <w:sz w:val="28"/>
          <w:szCs w:val="28"/>
        </w:rPr>
      </w:pPr>
      <w:r>
        <w:rPr>
          <w:rFonts w:hint="eastAsia" w:ascii="Times New Roman" w:cs="Times New Roman"/>
          <w:b w:val="0"/>
          <w:bCs/>
          <w:sz w:val="28"/>
          <w:szCs w:val="28"/>
        </w:rPr>
        <w:t xml:space="preserve">    品种名称：新麦67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Times New Roman" w:cs="Times New Roman"/>
          <w:b w:val="0"/>
          <w:bCs/>
          <w:sz w:val="28"/>
          <w:szCs w:val="28"/>
        </w:rPr>
      </w:pPr>
      <w:r>
        <w:rPr>
          <w:rFonts w:hint="eastAsia" w:ascii="Times New Roman" w:cs="Times New Roman"/>
          <w:b w:val="0"/>
          <w:bCs/>
          <w:sz w:val="28"/>
          <w:szCs w:val="28"/>
        </w:rPr>
        <w:t>申请者：河南省新乡市农业科学院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ascii="Times New Roman" w:cs="Times New Roman"/>
          <w:b w:val="0"/>
          <w:bCs/>
          <w:sz w:val="28"/>
          <w:szCs w:val="28"/>
        </w:rPr>
      </w:pPr>
      <w:r>
        <w:rPr>
          <w:rFonts w:hint="eastAsia" w:ascii="Times New Roman" w:cs="Times New Roman"/>
          <w:b w:val="0"/>
          <w:bCs/>
          <w:sz w:val="28"/>
          <w:szCs w:val="28"/>
        </w:rPr>
        <w:t>育种者：河南省新乡市农业科学院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cs="Times New Roman"/>
          <w:b w:val="0"/>
          <w:bCs/>
          <w:sz w:val="28"/>
          <w:szCs w:val="28"/>
        </w:rPr>
        <w:t>品种来源：周麦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27//070138-10-3-4/</w:t>
      </w:r>
      <w:r>
        <w:rPr>
          <w:rFonts w:ascii="Times New Roman" w:cs="Times New Roman"/>
          <w:b w:val="0"/>
          <w:bCs/>
          <w:sz w:val="28"/>
          <w:szCs w:val="28"/>
        </w:rPr>
        <w:t>周麦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16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 w:val="0"/>
          <w:bCs/>
          <w:sz w:val="28"/>
          <w:szCs w:val="28"/>
        </w:rPr>
        <w:t>特征特性：</w:t>
      </w:r>
      <w:r>
        <w:rPr>
          <w:rFonts w:ascii="Times New Roman" w:cs="Times New Roman"/>
          <w:b w:val="0"/>
          <w:bCs/>
          <w:sz w:val="28"/>
          <w:szCs w:val="28"/>
        </w:rPr>
        <w:t>半冬性中熟品种，全生育期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211.8</w:t>
      </w:r>
      <w:r>
        <w:rPr>
          <w:rFonts w:ascii="Times New Roman" w:cs="Times New Roman"/>
          <w:b w:val="0"/>
          <w:bCs/>
          <w:sz w:val="28"/>
          <w:szCs w:val="28"/>
        </w:rPr>
        <w:t>天，比对照周麦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18</w:t>
      </w:r>
      <w:r>
        <w:rPr>
          <w:rFonts w:ascii="Times New Roman" w:cs="Times New Roman"/>
          <w:b w:val="0"/>
          <w:bCs/>
          <w:sz w:val="28"/>
          <w:szCs w:val="28"/>
        </w:rPr>
        <w:t>早熟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0.4</w:t>
      </w:r>
      <w:r>
        <w:rPr>
          <w:rFonts w:ascii="Times New Roman" w:cs="Times New Roman"/>
          <w:sz w:val="28"/>
          <w:szCs w:val="28"/>
        </w:rPr>
        <w:t>天，比对照周麦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cs="Times New Roman"/>
          <w:sz w:val="28"/>
          <w:szCs w:val="28"/>
        </w:rPr>
        <w:t>早熟</w:t>
      </w:r>
      <w:r>
        <w:rPr>
          <w:rFonts w:ascii="Times New Roman" w:hAnsi="Times New Roman" w:cs="Times New Roman"/>
          <w:sz w:val="28"/>
          <w:szCs w:val="28"/>
        </w:rPr>
        <w:t>0.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天。幼苗半匍匐，</w:t>
      </w:r>
      <w:r>
        <w:rPr>
          <w:rFonts w:hint="eastAsia" w:ascii="Times New Roman" w:cs="Times New Roman"/>
          <w:sz w:val="28"/>
          <w:szCs w:val="28"/>
        </w:rPr>
        <w:t>植株健壮，</w:t>
      </w:r>
      <w:r>
        <w:rPr>
          <w:rFonts w:ascii="Times New Roman" w:cs="Times New Roman"/>
          <w:sz w:val="28"/>
          <w:szCs w:val="28"/>
        </w:rPr>
        <w:t>抗寒性</w:t>
      </w:r>
      <w:r>
        <w:rPr>
          <w:rFonts w:hint="eastAsia" w:ascii="Times New Roman" w:cs="Times New Roman"/>
          <w:sz w:val="28"/>
          <w:szCs w:val="28"/>
        </w:rPr>
        <w:t>较</w:t>
      </w:r>
      <w:r>
        <w:rPr>
          <w:rFonts w:ascii="Times New Roman" w:cs="Times New Roman"/>
          <w:sz w:val="28"/>
          <w:szCs w:val="28"/>
        </w:rPr>
        <w:t>好。春季起身拔节</w:t>
      </w:r>
      <w:r>
        <w:rPr>
          <w:rFonts w:hint="eastAsia" w:ascii="Times New Roman" w:cs="Times New Roman"/>
          <w:sz w:val="28"/>
          <w:szCs w:val="28"/>
        </w:rPr>
        <w:t>适中</w:t>
      </w:r>
      <w:r>
        <w:rPr>
          <w:rFonts w:ascii="Times New Roman" w:cs="Times New Roman"/>
          <w:sz w:val="28"/>
          <w:szCs w:val="28"/>
        </w:rPr>
        <w:t>，两级分化</w:t>
      </w:r>
      <w:r>
        <w:rPr>
          <w:rFonts w:hint="eastAsia" w:ascii="Times New Roman" w:cs="Times New Roman"/>
          <w:sz w:val="28"/>
          <w:szCs w:val="28"/>
        </w:rPr>
        <w:t>较</w:t>
      </w:r>
      <w:r>
        <w:rPr>
          <w:rFonts w:ascii="Times New Roman" w:cs="Times New Roman"/>
          <w:sz w:val="28"/>
          <w:szCs w:val="28"/>
        </w:rPr>
        <w:t>快，抗倒春寒能力</w:t>
      </w:r>
      <w:r>
        <w:rPr>
          <w:rFonts w:hint="eastAsia" w:ascii="Times New Roman" w:cs="Times New Roman"/>
          <w:sz w:val="28"/>
          <w:szCs w:val="28"/>
        </w:rPr>
        <w:t>好</w:t>
      </w:r>
      <w:r>
        <w:rPr>
          <w:rFonts w:ascii="Times New Roman" w:cs="Times New Roman"/>
          <w:sz w:val="28"/>
          <w:szCs w:val="28"/>
        </w:rPr>
        <w:t>。</w:t>
      </w:r>
      <w:r>
        <w:rPr>
          <w:rFonts w:hint="eastAsia" w:ascii="Times New Roman" w:cs="Times New Roman"/>
          <w:sz w:val="28"/>
          <w:szCs w:val="28"/>
        </w:rPr>
        <w:t>株型适中，分蘖力较强，茎秆</w:t>
      </w:r>
      <w:r>
        <w:rPr>
          <w:rFonts w:ascii="Times New Roman" w:cs="Times New Roman"/>
          <w:sz w:val="28"/>
          <w:szCs w:val="28"/>
        </w:rPr>
        <w:t>粗壮</w:t>
      </w:r>
      <w:r>
        <w:rPr>
          <w:rFonts w:hint="eastAsia" w:ascii="Times New Roman" w:cs="Times New Roman"/>
          <w:sz w:val="28"/>
          <w:szCs w:val="28"/>
        </w:rPr>
        <w:t>，</w:t>
      </w:r>
      <w:r>
        <w:rPr>
          <w:rFonts w:ascii="Times New Roman" w:cs="Times New Roman"/>
          <w:sz w:val="28"/>
          <w:szCs w:val="28"/>
        </w:rPr>
        <w:t>抗倒伏能力较强</w:t>
      </w:r>
      <w:r>
        <w:rPr>
          <w:rFonts w:hint="eastAsia" w:ascii="Times New Roman" w:cs="Times New Roman"/>
          <w:sz w:val="28"/>
          <w:szCs w:val="28"/>
        </w:rPr>
        <w:t>；叶色深绿，穗层</w:t>
      </w:r>
      <w:r>
        <w:rPr>
          <w:rFonts w:ascii="Times New Roman" w:cs="Times New Roman"/>
          <w:sz w:val="28"/>
          <w:szCs w:val="28"/>
        </w:rPr>
        <w:t>较</w:t>
      </w:r>
      <w:r>
        <w:rPr>
          <w:rFonts w:hint="eastAsia" w:ascii="Times New Roman" w:cs="Times New Roman"/>
          <w:sz w:val="28"/>
          <w:szCs w:val="28"/>
        </w:rPr>
        <w:t>整齐，纺锤型穗，</w:t>
      </w:r>
      <w:r>
        <w:rPr>
          <w:rFonts w:ascii="Times New Roman" w:cs="Times New Roman"/>
          <w:sz w:val="28"/>
          <w:szCs w:val="28"/>
        </w:rPr>
        <w:t>穗大，均匀</w:t>
      </w:r>
      <w:r>
        <w:rPr>
          <w:rFonts w:hint="eastAsia" w:asci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cs="Times New Roman"/>
          <w:sz w:val="28"/>
          <w:szCs w:val="28"/>
        </w:rPr>
        <w:t>短芒</w:t>
      </w:r>
      <w:r>
        <w:rPr>
          <w:rFonts w:hint="eastAsia" w:ascii="Times New Roman" w:cs="Times New Roman"/>
          <w:sz w:val="28"/>
          <w:szCs w:val="28"/>
          <w:lang w:eastAsia="zh-CN"/>
        </w:rPr>
        <w:t>。</w:t>
      </w:r>
      <w:r>
        <w:rPr>
          <w:rFonts w:ascii="Times New Roman" w:cs="Times New Roman"/>
          <w:sz w:val="28"/>
          <w:szCs w:val="28"/>
        </w:rPr>
        <w:t>根系活力强，较耐后期高温，</w:t>
      </w:r>
      <w:r>
        <w:rPr>
          <w:rFonts w:hint="eastAsia" w:ascii="Times New Roman" w:cs="Times New Roman"/>
          <w:sz w:val="28"/>
          <w:szCs w:val="28"/>
        </w:rPr>
        <w:t>熟相较好。</w:t>
      </w:r>
      <w:r>
        <w:rPr>
          <w:rFonts w:ascii="Times New Roman" w:cs="Times New Roman"/>
          <w:sz w:val="28"/>
          <w:szCs w:val="28"/>
        </w:rPr>
        <w:t>株高</w:t>
      </w:r>
      <w:r>
        <w:rPr>
          <w:rFonts w:hint="eastAsia" w:ascii="Times New Roman" w:cs="Times New Roman"/>
          <w:sz w:val="28"/>
          <w:szCs w:val="28"/>
          <w:lang w:eastAsia="zh-CN"/>
        </w:rPr>
        <w:t>适中（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77cm上下</w:t>
      </w:r>
      <w:r>
        <w:rPr>
          <w:rFonts w:hint="eastAsia" w:ascii="Times New Roman" w:cs="Times New Roman"/>
          <w:sz w:val="28"/>
          <w:szCs w:val="28"/>
          <w:lang w:eastAsia="zh-CN"/>
        </w:rPr>
        <w:t>），</w:t>
      </w:r>
      <w:r>
        <w:rPr>
          <w:rFonts w:ascii="Times New Roman" w:cs="Times New Roman"/>
          <w:sz w:val="28"/>
          <w:szCs w:val="28"/>
        </w:rPr>
        <w:t>田间表现综合抗病性较好，条锈病、叶锈病、白粉病、纹枯病中度发生。亩穗数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40 - 44</w:t>
      </w:r>
      <w:r>
        <w:rPr>
          <w:rFonts w:ascii="Times New Roman" w:cs="Times New Roman"/>
          <w:sz w:val="28"/>
          <w:szCs w:val="28"/>
        </w:rPr>
        <w:t>万，穗粒数</w:t>
      </w: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cs="Times New Roman"/>
          <w:sz w:val="28"/>
          <w:szCs w:val="28"/>
        </w:rPr>
        <w:t>粒</w:t>
      </w:r>
      <w:r>
        <w:rPr>
          <w:rFonts w:hint="eastAsia" w:ascii="Times New Roman" w:cs="Times New Roman"/>
          <w:sz w:val="28"/>
          <w:szCs w:val="28"/>
          <w:lang w:eastAsia="zh-CN"/>
        </w:rPr>
        <w:t>左右</w:t>
      </w:r>
      <w:r>
        <w:rPr>
          <w:rFonts w:ascii="Times New Roman" w:cs="Times New Roman"/>
          <w:sz w:val="28"/>
          <w:szCs w:val="28"/>
        </w:rPr>
        <w:t>，千粒重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ascii="Times New Roman" w:cs="Times New Roman"/>
          <w:sz w:val="28"/>
          <w:szCs w:val="28"/>
        </w:rPr>
        <w:t>克</w:t>
      </w:r>
      <w:r>
        <w:rPr>
          <w:rFonts w:hint="eastAsia" w:ascii="Times New Roman" w:cs="Times New Roman"/>
          <w:sz w:val="28"/>
          <w:szCs w:val="28"/>
          <w:lang w:eastAsia="zh-CN"/>
        </w:rPr>
        <w:t>左右</w:t>
      </w:r>
      <w:r>
        <w:rPr>
          <w:rFonts w:ascii="Times New Roman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/>
          <w:b w:val="0"/>
          <w:bCs/>
          <w:sz w:val="28"/>
          <w:szCs w:val="28"/>
        </w:rPr>
        <w:t xml:space="preserve">    </w:t>
      </w:r>
      <w:r>
        <w:rPr>
          <w:rFonts w:ascii="Times New Roman" w:cs="Times New Roman"/>
          <w:b w:val="0"/>
          <w:bCs/>
          <w:sz w:val="28"/>
          <w:szCs w:val="28"/>
        </w:rPr>
        <w:t>抗病性鉴定：</w:t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t>2020-2021 年接种抗病性鉴定结果：中抗条锈病、</w:t>
      </w:r>
      <w:r>
        <w:rPr>
          <w:rFonts w:hint="eastAsia" w:ascii="Times New Roman" w:hAnsi="Times New Roman" w:cs="Times New Roman"/>
          <w:sz w:val="28"/>
          <w:szCs w:val="28"/>
        </w:rPr>
        <w:t>中感叶锈病、中感纹枯病，中感白粉病，高感赤霉病。2021-2022 年接种抗病性鉴定结果：高抗条锈病，中感白粉病、纹枯病，高感叶锈病、赤霉病。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/>
          <w:b w:val="0"/>
          <w:bCs/>
          <w:sz w:val="28"/>
          <w:szCs w:val="28"/>
        </w:rPr>
        <w:t xml:space="preserve">    </w:t>
      </w:r>
      <w:r>
        <w:rPr>
          <w:rFonts w:ascii="Times New Roman" w:cs="Times New Roman"/>
          <w:b w:val="0"/>
          <w:bCs/>
          <w:sz w:val="28"/>
          <w:szCs w:val="28"/>
        </w:rPr>
        <w:t>品质检测：</w:t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t>2021/2022年</w:t>
      </w:r>
      <w:r>
        <w:rPr>
          <w:rFonts w:ascii="Times New Roman" w:cs="Times New Roman"/>
          <w:b w:val="0"/>
          <w:bCs/>
          <w:sz w:val="28"/>
          <w:szCs w:val="28"/>
        </w:rPr>
        <w:t>籽粒容重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804</w:t>
      </w:r>
      <w:r>
        <w:rPr>
          <w:rFonts w:ascii="Times New Roman" w:cs="Times New Roman"/>
          <w:b w:val="0"/>
          <w:bCs/>
          <w:sz w:val="28"/>
          <w:szCs w:val="28"/>
        </w:rPr>
        <w:t>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/</w:t>
      </w:r>
      <w:r>
        <w:rPr>
          <w:rFonts w:ascii="Times New Roman" w:cs="Times New Roman"/>
          <w:b w:val="0"/>
          <w:bCs/>
          <w:sz w:val="28"/>
          <w:szCs w:val="28"/>
        </w:rPr>
        <w:t>升、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831 </w:t>
      </w:r>
      <w:r>
        <w:rPr>
          <w:rFonts w:ascii="Times New Roman" w:cs="Times New Roman"/>
          <w:b w:val="0"/>
          <w:bCs/>
          <w:sz w:val="28"/>
          <w:szCs w:val="28"/>
        </w:rPr>
        <w:t>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/</w:t>
      </w:r>
      <w:r>
        <w:rPr>
          <w:rFonts w:ascii="Times New Roman" w:cs="Times New Roman"/>
          <w:b w:val="0"/>
          <w:bCs/>
          <w:sz w:val="28"/>
          <w:szCs w:val="28"/>
        </w:rPr>
        <w:t>升，蛋白</w:t>
      </w:r>
      <w:r>
        <w:rPr>
          <w:rFonts w:ascii="Times New Roman" w:cs="Times New Roman"/>
          <w:sz w:val="28"/>
          <w:szCs w:val="28"/>
        </w:rPr>
        <w:t>质含量</w:t>
      </w:r>
      <w:r>
        <w:rPr>
          <w:rFonts w:ascii="Times New Roman" w:hAnsi="Times New Roman" w:cs="Times New Roman"/>
          <w:sz w:val="28"/>
          <w:szCs w:val="28"/>
        </w:rPr>
        <w:t xml:space="preserve"> 13.9%</w:t>
      </w:r>
      <w:r>
        <w:rPr>
          <w:rFonts w:asci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 xml:space="preserve"> 12.6%</w:t>
      </w:r>
      <w:r>
        <w:rPr>
          <w:rFonts w:ascii="Times New Roman" w:cs="Times New Roman"/>
          <w:sz w:val="28"/>
          <w:szCs w:val="28"/>
        </w:rPr>
        <w:t>，湿面筋含量</w:t>
      </w:r>
      <w:r>
        <w:rPr>
          <w:rFonts w:ascii="Times New Roman" w:hAnsi="Times New Roman" w:cs="Times New Roman"/>
          <w:sz w:val="28"/>
          <w:szCs w:val="28"/>
        </w:rPr>
        <w:t xml:space="preserve"> 34.2%</w:t>
      </w:r>
      <w:r>
        <w:rPr>
          <w:rFonts w:asci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29.9%</w:t>
      </w:r>
      <w:r>
        <w:rPr>
          <w:rFonts w:ascii="Times New Roman" w:cs="Times New Roman"/>
          <w:sz w:val="28"/>
          <w:szCs w:val="28"/>
        </w:rPr>
        <w:t>，吸水率</w:t>
      </w:r>
      <w:r>
        <w:rPr>
          <w:rFonts w:ascii="Times New Roman" w:hAnsi="Times New Roman" w:cs="Times New Roman"/>
          <w:sz w:val="28"/>
          <w:szCs w:val="28"/>
        </w:rPr>
        <w:t xml:space="preserve"> 56.8%</w:t>
      </w:r>
      <w:r>
        <w:rPr>
          <w:rFonts w:asci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61.8%</w:t>
      </w:r>
      <w:r>
        <w:rPr>
          <w:rFonts w:ascii="Times New Roman" w:cs="Times New Roman"/>
          <w:sz w:val="28"/>
          <w:szCs w:val="28"/>
        </w:rPr>
        <w:t>，最大拉伸阻力</w:t>
      </w:r>
      <w:r>
        <w:rPr>
          <w:rFonts w:ascii="Times New Roman" w:hAnsi="Times New Roman" w:cs="Times New Roman"/>
          <w:sz w:val="28"/>
          <w:szCs w:val="28"/>
        </w:rPr>
        <w:t xml:space="preserve"> 187Rm.E.U.</w:t>
      </w:r>
      <w:r>
        <w:rPr>
          <w:rFonts w:asci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164Rm.E.U.</w:t>
      </w:r>
      <w:r>
        <w:rPr>
          <w:rFonts w:ascii="Times New Roman" w:cs="Times New Roman"/>
          <w:sz w:val="28"/>
          <w:szCs w:val="28"/>
        </w:rPr>
        <w:t>，拉伸面积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cs="Times New Roman"/>
          <w:sz w:val="28"/>
          <w:szCs w:val="28"/>
        </w:rPr>
        <w:t>平方厘米、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cs="Times New Roman"/>
          <w:sz w:val="28"/>
          <w:szCs w:val="28"/>
        </w:rPr>
        <w:t>平方厘米。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cs="Times New Roman"/>
          <w:sz w:val="28"/>
          <w:szCs w:val="28"/>
        </w:rPr>
        <w:t>年养分利用效率鉴定结果：</w:t>
      </w:r>
      <w:r>
        <w:rPr>
          <w:rFonts w:ascii="Times New Roman" w:hAnsi="Times New Roman" w:cs="Times New Roman"/>
          <w:sz w:val="28"/>
          <w:szCs w:val="28"/>
        </w:rPr>
        <w:t>NUI</w:t>
      </w:r>
      <w:r>
        <w:rPr>
          <w:rFonts w:ascii="Times New Roman" w:cs="Times New Roman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>1.713</w:t>
      </w:r>
      <w:r>
        <w:rPr>
          <w:rFonts w:asci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PUI</w:t>
      </w:r>
      <w:r>
        <w:rPr>
          <w:rFonts w:ascii="Times New Roman" w:cs="Times New Roman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>1.681</w:t>
      </w:r>
      <w:r>
        <w:rPr>
          <w:rFonts w:ascii="Times New Roman" w:cs="Times New Roman"/>
          <w:sz w:val="28"/>
          <w:szCs w:val="28"/>
        </w:rPr>
        <w:t>，氮磷均高效；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cs="Times New Roman"/>
          <w:sz w:val="28"/>
          <w:szCs w:val="28"/>
        </w:rPr>
        <w:t>年养分利用效率鉴定结果：</w:t>
      </w:r>
      <w:r>
        <w:rPr>
          <w:rFonts w:ascii="Times New Roman" w:hAnsi="Times New Roman" w:cs="Times New Roman"/>
          <w:sz w:val="28"/>
          <w:szCs w:val="28"/>
        </w:rPr>
        <w:t>NUI</w:t>
      </w:r>
      <w:r>
        <w:rPr>
          <w:rFonts w:ascii="Times New Roman" w:cs="Times New Roman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>0.996</w:t>
      </w:r>
      <w:r>
        <w:rPr>
          <w:rFonts w:asci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PUI</w:t>
      </w:r>
      <w:r>
        <w:rPr>
          <w:rFonts w:ascii="Times New Roman" w:cs="Times New Roman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>0.936</w:t>
      </w:r>
      <w:r>
        <w:rPr>
          <w:rFonts w:ascii="Times New Roman" w:cs="Times New Roman"/>
          <w:sz w:val="28"/>
          <w:szCs w:val="28"/>
        </w:rPr>
        <w:t>，氮磷均中等。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ascii="Times New Roman" w:cs="Times New Roman"/>
          <w:b w:val="0"/>
          <w:bCs/>
          <w:sz w:val="28"/>
          <w:szCs w:val="28"/>
        </w:rPr>
        <w:t>产量表现：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2020</w:t>
      </w:r>
      <w:r>
        <w:rPr>
          <w:rFonts w:ascii="Times New Roman" w:cs="Times New Roman"/>
          <w:b w:val="0"/>
          <w:bCs/>
          <w:sz w:val="28"/>
          <w:szCs w:val="28"/>
        </w:rPr>
        <w:t>～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2021</w:t>
      </w:r>
      <w:r>
        <w:rPr>
          <w:rFonts w:ascii="Times New Roman" w:cs="Times New Roman"/>
          <w:b w:val="0"/>
          <w:bCs/>
          <w:sz w:val="28"/>
          <w:szCs w:val="28"/>
        </w:rPr>
        <w:t>年度抗赤霉病及多抗组</w:t>
      </w:r>
      <w:r>
        <w:rPr>
          <w:rFonts w:hint="eastAsia" w:ascii="Times New Roman" w:cs="Times New Roman"/>
          <w:b w:val="0"/>
          <w:bCs/>
          <w:sz w:val="28"/>
          <w:szCs w:val="28"/>
          <w:lang w:eastAsia="zh-CN"/>
        </w:rPr>
        <w:t>大区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试验</w:t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t>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平均</w:t>
      </w:r>
      <w:r>
        <w:rPr>
          <w:rFonts w:ascii="Times New Roman" w:hAnsi="Times New Roman" w:cs="Times New Roman"/>
          <w:sz w:val="28"/>
          <w:szCs w:val="28"/>
        </w:rPr>
        <w:t>亩产564.6公斤，比对照周麦18增产8.0%，居18个参试品种的第1位。2021～2022年度</w:t>
      </w:r>
      <w:r>
        <w:rPr>
          <w:rFonts w:hint="eastAsia" w:ascii="Times New Roman" w:hAnsi="Times New Roman" w:cs="Times New Roman"/>
          <w:sz w:val="28"/>
          <w:szCs w:val="28"/>
        </w:rPr>
        <w:t>参加养分高效组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大区</w:t>
      </w:r>
      <w:r>
        <w:rPr>
          <w:rFonts w:ascii="Times New Roman" w:hAnsi="Times New Roman" w:cs="Times New Roman"/>
          <w:sz w:val="28"/>
          <w:szCs w:val="28"/>
        </w:rPr>
        <w:t>试验，平均亩产616.45公斤，比对照周麦18增产</w:t>
      </w:r>
      <w:r>
        <w:rPr>
          <w:rFonts w:hint="eastAsia" w:ascii="Times New Roman" w:hAnsi="Times New Roman" w:cs="Times New Roman"/>
          <w:sz w:val="28"/>
          <w:szCs w:val="28"/>
        </w:rPr>
        <w:t>7.00</w:t>
      </w:r>
      <w:r>
        <w:rPr>
          <w:rFonts w:ascii="Times New Roman" w:hAnsi="Times New Roman" w:cs="Times New Roman"/>
          <w:sz w:val="28"/>
          <w:szCs w:val="28"/>
        </w:rPr>
        <w:t>%，</w:t>
      </w:r>
      <w:r>
        <w:rPr>
          <w:rFonts w:ascii="Times New Roman" w:cs="Times New Roman"/>
          <w:sz w:val="28"/>
          <w:szCs w:val="28"/>
        </w:rPr>
        <w:t>居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>个参试品种的第</w:t>
      </w:r>
      <w:r>
        <w:rPr>
          <w:rFonts w:hint="eastAsia" w:ascii="Times New Roman" w:hAnsi="Times New Roman" w:cs="Times New Roman"/>
          <w:sz w:val="28"/>
          <w:szCs w:val="28"/>
        </w:rPr>
        <w:t>7</w:t>
      </w:r>
      <w:r>
        <w:rPr>
          <w:rFonts w:ascii="Times New Roman" w:cs="Times New Roman"/>
          <w:sz w:val="28"/>
          <w:szCs w:val="28"/>
        </w:rPr>
        <w:t>位。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cs="Times New Roman"/>
          <w:sz w:val="28"/>
          <w:szCs w:val="28"/>
        </w:rPr>
        <w:t>年～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cs="Times New Roman"/>
          <w:sz w:val="28"/>
          <w:szCs w:val="28"/>
        </w:rPr>
        <w:t>年度生产试验，平均亩产</w:t>
      </w:r>
      <w:r>
        <w:rPr>
          <w:rFonts w:ascii="Times New Roman" w:hAnsi="Times New Roman" w:cs="Times New Roman"/>
          <w:sz w:val="28"/>
          <w:szCs w:val="28"/>
        </w:rPr>
        <w:t xml:space="preserve"> 565.2 </w:t>
      </w:r>
      <w:r>
        <w:rPr>
          <w:rFonts w:ascii="Times New Roman" w:cs="Times New Roman"/>
          <w:sz w:val="28"/>
          <w:szCs w:val="28"/>
        </w:rPr>
        <w:t>千克，比对照周麦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cs="Times New Roman"/>
          <w:sz w:val="28"/>
          <w:szCs w:val="28"/>
        </w:rPr>
        <w:t>增产</w:t>
      </w:r>
      <w:r>
        <w:rPr>
          <w:rFonts w:ascii="Times New Roman" w:hAnsi="Times New Roman" w:cs="Times New Roman"/>
          <w:sz w:val="28"/>
          <w:szCs w:val="28"/>
        </w:rPr>
        <w:t xml:space="preserve"> 4.86%</w:t>
      </w:r>
      <w:r>
        <w:rPr>
          <w:rFonts w:hint="eastAsia" w:ascii="Times New Roman" w:cs="Times New Roman"/>
          <w:sz w:val="28"/>
          <w:szCs w:val="28"/>
        </w:rPr>
        <w:t>，居9 个参试品种的第6 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480"/>
        <w:textAlignment w:val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 w:val="0"/>
          <w:bCs/>
          <w:sz w:val="28"/>
          <w:szCs w:val="28"/>
        </w:rPr>
        <w:t>种植区域：适宜在黄淮冬麦区南片的河南省除信阳市（淮河以南</w:t>
      </w:r>
      <w:r>
        <w:rPr>
          <w:rFonts w:ascii="Times New Roman" w:cs="Times New Roman"/>
          <w:sz w:val="28"/>
          <w:szCs w:val="28"/>
        </w:rPr>
        <w:t>稻茬麦区）和南阳市南部部分地区以外的平原灌区，陕西省西安、渭南、咸阳、铜川和宝鸡市灌区，江苏省淮河、苏北灌溉总渠以北地区，安徽省沿淮及淮河以北地区高中水肥地块早中茬种植。</w:t>
      </w:r>
    </w:p>
    <w:p>
      <w:pPr>
        <w:spacing w:line="360" w:lineRule="auto"/>
        <w:ind w:firstLine="480"/>
        <w:rPr>
          <w:rFonts w:asci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eastAsia" w:hAnsi="宋体" w:eastAsia="宋体" w:cs="宋体"/>
          <w:sz w:val="28"/>
          <w:lang w:val="en-US" w:eastAsia="zh-CN"/>
        </w:rPr>
      </w:pPr>
      <w:r>
        <w:rPr>
          <w:rFonts w:hint="eastAsia" w:hAnsi="宋体" w:eastAsia="宋体" w:cs="宋体"/>
          <w:sz w:val="28"/>
          <w:lang w:eastAsia="zh-CN"/>
        </w:rPr>
        <w:drawing>
          <wp:inline distT="0" distB="0" distL="114300" distR="114300">
            <wp:extent cx="2621280" cy="2541905"/>
            <wp:effectExtent l="0" t="0" r="7620" b="10795"/>
            <wp:docPr id="1" name="图片 1" descr="新麦6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麦67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lang w:val="en-US" w:eastAsia="zh-CN"/>
        </w:rPr>
        <w:t xml:space="preserve"> </w:t>
      </w:r>
      <w:r>
        <w:rPr>
          <w:rFonts w:hint="eastAsia" w:hAnsi="宋体" w:eastAsia="宋体" w:cs="宋体"/>
          <w:sz w:val="28"/>
          <w:lang w:eastAsia="zh-CN"/>
        </w:rPr>
        <w:drawing>
          <wp:inline distT="0" distB="0" distL="114300" distR="114300">
            <wp:extent cx="2407920" cy="2550795"/>
            <wp:effectExtent l="0" t="0" r="11430" b="1905"/>
            <wp:docPr id="2" name="图片 2" descr="新麦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麦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hAnsi="宋体" w:eastAsia="宋体" w:cs="宋体"/>
          <w:sz w:val="28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eastAsia="宋体" w:cs="宋体"/>
          <w:sz w:val="28"/>
          <w:lang w:val="en-US" w:eastAsia="zh-CN"/>
        </w:rPr>
      </w:pPr>
      <w:r>
        <w:rPr>
          <w:rFonts w:hint="eastAsia" w:hAnsi="宋体" w:eastAsia="宋体" w:cs="宋体"/>
          <w:sz w:val="28"/>
          <w:lang w:eastAsia="zh-CN"/>
        </w:rPr>
        <w:drawing>
          <wp:inline distT="0" distB="0" distL="114300" distR="114300">
            <wp:extent cx="4011295" cy="2311400"/>
            <wp:effectExtent l="0" t="0" r="8255" b="12700"/>
            <wp:docPr id="3" name="图片 3" descr="新麦6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麦67-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hAnsi="宋体" w:eastAsia="宋体" w:cs="宋体"/>
          <w:sz w:val="28"/>
          <w:lang w:val="en-US" w:eastAsia="zh-CN"/>
        </w:rPr>
      </w:pPr>
    </w:p>
    <w:p>
      <w:pPr>
        <w:spacing w:line="360" w:lineRule="auto"/>
        <w:rPr>
          <w:rFonts w:hint="eastAsia" w:hAnsi="宋体" w:eastAsia="宋体" w:cs="宋体"/>
          <w:sz w:val="28"/>
          <w:lang w:eastAsia="zh-CN"/>
        </w:rPr>
      </w:pPr>
      <w:r>
        <w:rPr>
          <w:rFonts w:hint="eastAsia" w:hAnsi="宋体" w:eastAsia="宋体" w:cs="宋体"/>
          <w:sz w:val="28"/>
          <w:lang w:eastAsia="zh-CN"/>
        </w:rPr>
        <w:drawing>
          <wp:inline distT="0" distB="0" distL="114300" distR="114300">
            <wp:extent cx="2515235" cy="2308860"/>
            <wp:effectExtent l="0" t="0" r="18415" b="15240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lang w:val="en-US" w:eastAsia="zh-CN"/>
        </w:rPr>
        <w:t xml:space="preserve">  </w:t>
      </w:r>
      <w:r>
        <w:rPr>
          <w:rFonts w:hint="eastAsia" w:hAnsi="宋体" w:eastAsia="宋体" w:cs="宋体"/>
          <w:sz w:val="28"/>
          <w:lang w:eastAsia="zh-CN"/>
        </w:rPr>
        <w:drawing>
          <wp:inline distT="0" distB="0" distL="114300" distR="114300">
            <wp:extent cx="2484120" cy="2337435"/>
            <wp:effectExtent l="0" t="0" r="11430" b="571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E0C"/>
    <w:rsid w:val="00123F13"/>
    <w:rsid w:val="00182919"/>
    <w:rsid w:val="0024596C"/>
    <w:rsid w:val="003D4DD1"/>
    <w:rsid w:val="00470215"/>
    <w:rsid w:val="00521E0C"/>
    <w:rsid w:val="00614447"/>
    <w:rsid w:val="007669BA"/>
    <w:rsid w:val="008315B6"/>
    <w:rsid w:val="00844B8B"/>
    <w:rsid w:val="009C0AFB"/>
    <w:rsid w:val="00A4408E"/>
    <w:rsid w:val="00A71CC2"/>
    <w:rsid w:val="00AA36C3"/>
    <w:rsid w:val="00C319BD"/>
    <w:rsid w:val="00D3591F"/>
    <w:rsid w:val="00DC7A3F"/>
    <w:rsid w:val="00DE2AF4"/>
    <w:rsid w:val="00EF2A68"/>
    <w:rsid w:val="00F348DF"/>
    <w:rsid w:val="4DEFB465"/>
    <w:rsid w:val="6F7E24B4"/>
    <w:rsid w:val="75FF9CE9"/>
    <w:rsid w:val="7DD11A84"/>
    <w:rsid w:val="E6B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157</Words>
  <Characters>897</Characters>
  <Lines>7</Lines>
  <Paragraphs>2</Paragraphs>
  <TotalTime>24</TotalTime>
  <ScaleCrop>false</ScaleCrop>
  <LinksUpToDate>false</LinksUpToDate>
  <CharactersWithSpaces>1052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2025-03-07T03:05:00Z</dcterms:created>
  <dc:creator>Administrator</dc:creator>
  <cp:lastModifiedBy>一</cp:lastModifiedBy>
  <cp:lastPrinted>2025-06-30T16:18:04Z</cp:lastPrinted>
  <dcterms:modified xsi:type="dcterms:W3CDTF">2025-06-30T16:21:01Z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